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十三届市政协以来已安排的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重点协商议政活动议题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1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会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议</w:t>
            </w: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议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hAnsi="黑体" w:eastAsia="黑体"/>
                <w:sz w:val="32"/>
                <w:szCs w:val="32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0" w:type="pct"/>
            <w:vMerge w:val="restart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Ansi="楷体_GB2312" w:eastAsia="楷体_GB2312"/>
                <w:sz w:val="30"/>
                <w:szCs w:val="30"/>
              </w:rPr>
              <w:t>常委会会议暨资政会</w:t>
            </w:r>
          </w:p>
        </w:tc>
        <w:tc>
          <w:tcPr>
            <w:tcW w:w="3900" w:type="pct"/>
            <w:noWrap w:val="0"/>
            <w:vAlign w:val="center"/>
          </w:tcPr>
          <w:p>
            <w:pPr>
              <w:widowControl/>
              <w:ind w:left="-53" w:leftChars="-25" w:right="-53" w:rightChars="-25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强化创新驱动发展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打造现代化创新之城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pct"/>
            <w:vMerge w:val="continue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把芜湖打造成产业创新中心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加快融入长三角一体化发展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00" w:type="pct"/>
            <w:vMerge w:val="continue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抢抓长三角更高质量一体化发展机遇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建设高水平产业创新平台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vMerge w:val="restart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Ansi="楷体_GB2312" w:eastAsia="楷体_GB2312"/>
                <w:sz w:val="30"/>
                <w:szCs w:val="30"/>
              </w:rPr>
              <w:t>常委会会议暨专题协商会</w:t>
            </w:r>
          </w:p>
        </w:tc>
        <w:tc>
          <w:tcPr>
            <w:tcW w:w="3900" w:type="pct"/>
            <w:noWrap w:val="0"/>
            <w:vAlign w:val="center"/>
          </w:tcPr>
          <w:p>
            <w:pPr>
              <w:widowControl/>
              <w:ind w:left="-53" w:leftChars="-25" w:right="-53" w:rightChars="-25"/>
              <w:jc w:val="left"/>
              <w:rPr>
                <w:rFonts w:hint="eastAsia" w:ascii="楷体_GB2312" w:eastAsia="楷体_GB2312"/>
                <w:spacing w:val="-6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pacing w:val="-6"/>
                <w:sz w:val="32"/>
                <w:szCs w:val="32"/>
              </w:rPr>
              <w:t>创优</w:t>
            </w:r>
            <w:r>
              <w:rPr>
                <w:rFonts w:hint="eastAsia" w:ascii="楷体_GB2312" w:eastAsia="楷体_GB2312"/>
                <w:spacing w:val="-6"/>
                <w:sz w:val="32"/>
                <w:szCs w:val="32"/>
              </w:rPr>
              <w:t>“</w:t>
            </w:r>
            <w:r>
              <w:rPr>
                <w:rFonts w:hint="eastAsia" w:ascii="楷体_GB2312" w:hAnsi="楷体" w:eastAsia="楷体_GB2312"/>
                <w:spacing w:val="-6"/>
                <w:sz w:val="32"/>
                <w:szCs w:val="32"/>
              </w:rPr>
              <w:t>四最</w:t>
            </w:r>
            <w:r>
              <w:rPr>
                <w:rFonts w:hint="eastAsia" w:ascii="楷体_GB2312" w:eastAsia="楷体_GB2312"/>
                <w:spacing w:val="-6"/>
                <w:sz w:val="32"/>
                <w:szCs w:val="32"/>
              </w:rPr>
              <w:t>”</w:t>
            </w:r>
            <w:r>
              <w:rPr>
                <w:rFonts w:hint="eastAsia" w:ascii="楷体_GB2312" w:hAnsi="楷体" w:eastAsia="楷体_GB2312"/>
                <w:spacing w:val="-6"/>
                <w:sz w:val="32"/>
                <w:szCs w:val="32"/>
              </w:rPr>
              <w:t>营商环境</w:t>
            </w:r>
            <w:r>
              <w:rPr>
                <w:rFonts w:hint="eastAsia" w:ascii="楷体_GB2312" w:eastAsia="楷体_GB2312"/>
                <w:spacing w:val="-6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pacing w:val="-6"/>
                <w:sz w:val="32"/>
                <w:szCs w:val="32"/>
              </w:rPr>
              <w:t>打造人民满意的服务型政府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0" w:type="pct"/>
            <w:vMerge w:val="continue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芜湖地缘经济战略的格局和定位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pct"/>
            <w:vMerge w:val="continue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精心编制</w:t>
            </w:r>
            <w:r>
              <w:rPr>
                <w:rFonts w:hint="eastAsia" w:ascii="楷体_GB2312" w:eastAsia="楷体_GB2312"/>
                <w:sz w:val="32"/>
                <w:szCs w:val="32"/>
              </w:rPr>
              <w:t>“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十四五</w:t>
            </w:r>
            <w:r>
              <w:rPr>
                <w:rFonts w:hint="eastAsia" w:ascii="楷体_GB2312" w:eastAsia="楷体_GB2312"/>
                <w:sz w:val="32"/>
                <w:szCs w:val="32"/>
              </w:rPr>
              <w:t>”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规划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全力推动高质量发展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00" w:type="pct"/>
            <w:vMerge w:val="restart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双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月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专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题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协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商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会</w:t>
            </w: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打造宜居宜业宜游宜学宜养城市</w:t>
            </w:r>
            <w:r>
              <w:rPr>
                <w:rFonts w:hint="eastAsia" w:ascii="楷体_GB2312" w:eastAsia="楷体_GB2312"/>
                <w:sz w:val="32"/>
                <w:szCs w:val="32"/>
              </w:rPr>
              <w:t>·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城市功能品质与东部发达城市等高对接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加快实施乡村振兴战略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加快生产性服务业发展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打造制造强市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提升文化软实力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促进学前教育健康发展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水环境保护</w:t>
            </w:r>
            <w:r>
              <w:rPr>
                <w:rFonts w:hint="eastAsia" w:ascii="楷体_GB2312" w:eastAsia="楷体_GB2312"/>
                <w:sz w:val="32"/>
                <w:szCs w:val="32"/>
              </w:rPr>
              <w:t>·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黑臭水体整治及城东水系开发与保护</w:t>
            </w:r>
            <w:r>
              <w:rPr>
                <w:rFonts w:hint="eastAsia" w:ascii="楷体_GB2312" w:eastAsia="楷体_GB2312"/>
                <w:sz w:val="32"/>
                <w:szCs w:val="32"/>
              </w:rPr>
              <w:t>“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回头看</w:t>
            </w:r>
            <w:r>
              <w:rPr>
                <w:rFonts w:hint="eastAsia" w:ascii="楷体_GB2312" w:eastAsia="楷体_GB2312"/>
                <w:sz w:val="32"/>
                <w:szCs w:val="32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pct"/>
            <w:vMerge w:val="restart"/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双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月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专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题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协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商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会</w:t>
            </w: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服务企业发展政策和措施落实情况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深入推进脱贫攻坚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民生工程推进和落实情况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完善文化创新发展保障机制，推动公共文化服务体系建设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构建整合型城乡医疗服务体系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打造</w:t>
            </w:r>
            <w:r>
              <w:rPr>
                <w:rFonts w:hint="eastAsia" w:ascii="楷体_GB2312" w:eastAsia="楷体_GB2312"/>
                <w:sz w:val="32"/>
                <w:szCs w:val="32"/>
              </w:rPr>
              <w:t>“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六宜</w:t>
            </w:r>
            <w:r>
              <w:rPr>
                <w:rFonts w:hint="eastAsia" w:ascii="楷体_GB2312" w:eastAsia="楷体_GB2312"/>
                <w:sz w:val="32"/>
                <w:szCs w:val="32"/>
              </w:rPr>
              <w:t>”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城市</w:t>
            </w:r>
            <w:r>
              <w:rPr>
                <w:rFonts w:hint="eastAsia" w:ascii="楷体_GB2312" w:eastAsia="楷体_GB2312"/>
                <w:sz w:val="32"/>
                <w:szCs w:val="32"/>
              </w:rPr>
              <w:t>·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提升社区服务功能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民营经济发展政策落实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水环境保护</w:t>
            </w:r>
            <w:r>
              <w:rPr>
                <w:rFonts w:hint="eastAsia" w:ascii="楷体_GB2312" w:eastAsia="楷体_GB2312"/>
                <w:sz w:val="32"/>
                <w:szCs w:val="32"/>
              </w:rPr>
              <w:t>·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推进污水治理措施落实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pacing w:val="-6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pacing w:val="-6"/>
                <w:sz w:val="32"/>
                <w:szCs w:val="32"/>
              </w:rPr>
              <w:t>推进农村垃圾污水处理、厕所革命、村容村貌提升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助力全市文明创建</w:t>
            </w:r>
            <w:r>
              <w:rPr>
                <w:rFonts w:hint="eastAsia" w:ascii="楷体_GB2312" w:eastAsia="楷体_GB2312"/>
                <w:sz w:val="32"/>
                <w:szCs w:val="32"/>
              </w:rPr>
              <w:t>“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环境提升行动</w:t>
            </w:r>
            <w:r>
              <w:rPr>
                <w:rFonts w:hint="eastAsia" w:ascii="楷体_GB2312" w:eastAsia="楷体_GB2312"/>
                <w:sz w:val="32"/>
                <w:szCs w:val="32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推进基层群众自治，创新基层社会治理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加快农业产业融合发展，助推乡村全面振兴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推动芜湖创建历史文化名城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打造</w:t>
            </w:r>
            <w:r>
              <w:rPr>
                <w:rFonts w:hint="eastAsia" w:ascii="楷体_GB2312" w:eastAsia="楷体_GB2312"/>
                <w:sz w:val="32"/>
                <w:szCs w:val="32"/>
              </w:rPr>
              <w:t>“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六宜</w:t>
            </w:r>
            <w:r>
              <w:rPr>
                <w:rFonts w:hint="eastAsia" w:ascii="楷体_GB2312" w:eastAsia="楷体_GB2312"/>
                <w:sz w:val="32"/>
                <w:szCs w:val="32"/>
              </w:rPr>
              <w:t>”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城市</w:t>
            </w:r>
            <w:r>
              <w:rPr>
                <w:rFonts w:hint="eastAsia" w:ascii="楷体_GB2312" w:eastAsia="楷体_GB2312"/>
                <w:sz w:val="32"/>
                <w:szCs w:val="32"/>
              </w:rPr>
              <w:t>·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做好稳就业工作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pacing w:val="-6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pacing w:val="-6"/>
                <w:sz w:val="32"/>
                <w:szCs w:val="32"/>
              </w:rPr>
              <w:t>推进医共体、医联体建设，完善分级诊疗服务体系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0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00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水环境保护</w:t>
            </w:r>
            <w:r>
              <w:rPr>
                <w:rFonts w:hint="eastAsia" w:ascii="楷体_GB2312" w:eastAsia="楷体_GB2312"/>
                <w:sz w:val="32"/>
                <w:szCs w:val="32"/>
              </w:rPr>
              <w:t>·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推进水系连通</w:t>
            </w: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871" w:left="1531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315" w:leftChars="150" w:right="315" w:rightChars="15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315" w:leftChars="150" w:right="315" w:rightChars="150"/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076F"/>
    <w:rsid w:val="19B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2020-11-03T02:47:00Z</dcterms:created>
  <dc:creator>风过无痕</dc:creator>
  <cp:lastModifiedBy>风过无痕</cp:lastModifiedBy>
  <dcterms:modified xsi:type="dcterms:W3CDTF">2020-11-03T02:47:42Z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